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23" w:rsidRPr="0048012F" w:rsidRDefault="0048249A" w:rsidP="0048012F">
      <w:pPr>
        <w:pStyle w:val="Nessunaspaziatura"/>
        <w:spacing w:after="100" w:afterAutospacing="1"/>
        <w:jc w:val="center"/>
        <w:rPr>
          <w:b/>
        </w:rPr>
      </w:pPr>
      <w:bookmarkStart w:id="0" w:name="_GoBack"/>
      <w:bookmarkEnd w:id="0"/>
      <w:r w:rsidRPr="0048012F">
        <w:rPr>
          <w:b/>
        </w:rPr>
        <w:t>Scheda di sintesi sulla rilevazione degli OIV o strutture equivalenti</w:t>
      </w:r>
    </w:p>
    <w:p w:rsidR="00C27B23" w:rsidRPr="00387691" w:rsidRDefault="00C27B23" w:rsidP="005C6F53">
      <w:pPr>
        <w:pStyle w:val="Nessunaspaziatura"/>
        <w:spacing w:after="100" w:afterAutospacing="1"/>
      </w:pPr>
    </w:p>
    <w:p w:rsidR="00C27B23" w:rsidRPr="00387691" w:rsidRDefault="0048249A" w:rsidP="005C6F53">
      <w:pPr>
        <w:pStyle w:val="Nessunaspaziatura"/>
        <w:spacing w:after="100" w:afterAutospacing="1"/>
        <w:rPr>
          <w:b/>
          <w:i/>
        </w:rPr>
      </w:pPr>
      <w:r w:rsidRPr="00387691">
        <w:rPr>
          <w:b/>
          <w:i/>
        </w:rPr>
        <w:t>Data di svolgimento della rilevazione</w:t>
      </w:r>
    </w:p>
    <w:p w:rsidR="00017E9F" w:rsidRPr="002E4D0E" w:rsidRDefault="00124CF9" w:rsidP="005C6F53">
      <w:pPr>
        <w:pStyle w:val="Nessunaspaziatura"/>
        <w:spacing w:after="100" w:afterAutospacing="1"/>
      </w:pPr>
      <w:r w:rsidRPr="00387691">
        <w:t>Il Collegio di direzione dell’</w:t>
      </w:r>
      <w:r w:rsidR="00BE20FD">
        <w:t>U</w:t>
      </w:r>
      <w:r w:rsidRPr="00387691">
        <w:t xml:space="preserve">fficio controllo interno, trasparenza e integrità (UCI) </w:t>
      </w:r>
      <w:r w:rsidR="007235D7" w:rsidRPr="007235D7">
        <w:t>della Presidenza del Consiglio dei Ministri (PCM)</w:t>
      </w:r>
      <w:r w:rsidR="007235D7">
        <w:t xml:space="preserve"> </w:t>
      </w:r>
      <w:r w:rsidRPr="00387691">
        <w:t xml:space="preserve">si è riunito in più occasioni, ai fini delle rilevazioni concernenti la </w:t>
      </w:r>
      <w:r w:rsidR="0085606C">
        <w:t xml:space="preserve">Attestazione </w:t>
      </w:r>
      <w:r w:rsidR="0085606C" w:rsidRPr="0085606C">
        <w:t xml:space="preserve">sull’assolvimento degli obblighi di pubblicazione al 31 marzo 2018 </w:t>
      </w:r>
      <w:r w:rsidRPr="0085606C">
        <w:t>dell</w:t>
      </w:r>
      <w:r w:rsidR="0085606C">
        <w:t>e Strutture dell</w:t>
      </w:r>
      <w:r w:rsidRPr="0085606C">
        <w:t>a PCM,</w:t>
      </w:r>
      <w:r w:rsidRPr="00387691">
        <w:t xml:space="preserve"> nel periodo </w:t>
      </w:r>
      <w:r w:rsidRPr="002E4D0E">
        <w:t xml:space="preserve">compreso tra </w:t>
      </w:r>
      <w:r w:rsidR="007F60D4" w:rsidRPr="002E4D0E">
        <w:t xml:space="preserve">il </w:t>
      </w:r>
      <w:r w:rsidR="007235D7" w:rsidRPr="002E4D0E">
        <w:t>19</w:t>
      </w:r>
      <w:r w:rsidR="00017E9F" w:rsidRPr="002E4D0E">
        <w:t>/</w:t>
      </w:r>
      <w:r w:rsidR="007235D7" w:rsidRPr="002E4D0E">
        <w:t>04</w:t>
      </w:r>
      <w:r w:rsidR="00017E9F" w:rsidRPr="002E4D0E">
        <w:t>/</w:t>
      </w:r>
      <w:r w:rsidR="007235D7" w:rsidRPr="002E4D0E">
        <w:t>2018</w:t>
      </w:r>
      <w:r w:rsidR="007F60D4" w:rsidRPr="002E4D0E">
        <w:t xml:space="preserve"> </w:t>
      </w:r>
      <w:r w:rsidRPr="002E4D0E">
        <w:t xml:space="preserve">e </w:t>
      </w:r>
      <w:r w:rsidR="00DC07CB" w:rsidRPr="002E4D0E">
        <w:t>il</w:t>
      </w:r>
      <w:r w:rsidRPr="002E4D0E">
        <w:t xml:space="preserve"> </w:t>
      </w:r>
      <w:r w:rsidR="007235D7" w:rsidRPr="002E4D0E">
        <w:t>2</w:t>
      </w:r>
      <w:r w:rsidR="00255B1A" w:rsidRPr="002E4D0E">
        <w:t>7</w:t>
      </w:r>
      <w:r w:rsidR="00017E9F" w:rsidRPr="002E4D0E">
        <w:t>/</w:t>
      </w:r>
      <w:r w:rsidR="007235D7" w:rsidRPr="002E4D0E">
        <w:t>04</w:t>
      </w:r>
      <w:r w:rsidR="00017E9F" w:rsidRPr="002E4D0E">
        <w:t>/</w:t>
      </w:r>
      <w:r w:rsidR="007235D7" w:rsidRPr="002E4D0E">
        <w:t>2018</w:t>
      </w:r>
      <w:r w:rsidRPr="002E4D0E">
        <w:t xml:space="preserve">. </w:t>
      </w:r>
    </w:p>
    <w:p w:rsidR="00124CF9" w:rsidRPr="00387691" w:rsidRDefault="00124CF9" w:rsidP="005C6F53">
      <w:pPr>
        <w:pStyle w:val="Nessunaspaziatura"/>
        <w:spacing w:after="100" w:afterAutospacing="1"/>
      </w:pPr>
    </w:p>
    <w:p w:rsidR="00017E9F" w:rsidRPr="00017E9F" w:rsidRDefault="00017E9F" w:rsidP="005C6F53">
      <w:pPr>
        <w:pStyle w:val="Nessunaspaziatura"/>
        <w:spacing w:after="100" w:afterAutospacing="1"/>
        <w:rPr>
          <w:b/>
          <w:i/>
        </w:rPr>
      </w:pPr>
      <w:r w:rsidRPr="00017E9F">
        <w:rPr>
          <w:b/>
          <w:i/>
        </w:rPr>
        <w:t>Estensione della rilevazione (nel caso di amministrazioni con uffici periferici)</w:t>
      </w:r>
    </w:p>
    <w:p w:rsidR="00124CF9" w:rsidRPr="00387691" w:rsidRDefault="00124CF9" w:rsidP="005C6F53">
      <w:pPr>
        <w:pStyle w:val="Nessunaspaziatura"/>
        <w:spacing w:after="100" w:afterAutospacing="1"/>
        <w:rPr>
          <w:u w:val="single"/>
        </w:rPr>
      </w:pPr>
      <w:r w:rsidRPr="00387691">
        <w:t>La PCM non ha uffici periferici.</w:t>
      </w:r>
    </w:p>
    <w:p w:rsidR="00A82D53" w:rsidRDefault="00A82D53" w:rsidP="005C6F53">
      <w:pPr>
        <w:pStyle w:val="Nessunaspaziatura"/>
        <w:spacing w:after="100" w:afterAutospacing="1"/>
        <w:rPr>
          <w:b/>
          <w:i/>
        </w:rPr>
      </w:pPr>
    </w:p>
    <w:p w:rsidR="00C27B23" w:rsidRPr="00387691" w:rsidRDefault="0048249A" w:rsidP="005C6F53">
      <w:pPr>
        <w:pStyle w:val="Nessunaspaziatura"/>
        <w:spacing w:after="100" w:afterAutospacing="1"/>
        <w:rPr>
          <w:b/>
          <w:i/>
        </w:rPr>
      </w:pPr>
      <w:r w:rsidRPr="00387691">
        <w:rPr>
          <w:b/>
          <w:i/>
        </w:rPr>
        <w:t xml:space="preserve">Procedure e modalità seguite per la rilevazione </w:t>
      </w:r>
    </w:p>
    <w:p w:rsidR="00255B1A" w:rsidRPr="00255B1A" w:rsidRDefault="000919EC"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eastAsiaTheme="minorHAnsi" w:cs="Times New Roman"/>
          <w:lang w:eastAsia="en-US"/>
        </w:rPr>
      </w:pPr>
      <w:r w:rsidRPr="00255B1A">
        <w:rPr>
          <w:rFonts w:eastAsiaTheme="minorHAnsi" w:cs="Times New Roman"/>
          <w:lang w:eastAsia="en-US"/>
        </w:rPr>
        <w:t xml:space="preserve">In </w:t>
      </w:r>
      <w:r w:rsidR="0048012F" w:rsidRPr="00255B1A">
        <w:rPr>
          <w:rFonts w:eastAsiaTheme="minorHAnsi" w:cs="Times New Roman"/>
          <w:lang w:eastAsia="en-US"/>
        </w:rPr>
        <w:t>termini generali s</w:t>
      </w:r>
      <w:r w:rsidRPr="00255B1A">
        <w:rPr>
          <w:rFonts w:eastAsiaTheme="minorHAnsi" w:cs="Times New Roman"/>
          <w:lang w:eastAsia="en-US"/>
        </w:rPr>
        <w:t>i evidenzia che</w:t>
      </w:r>
      <w:r w:rsidR="0048012F" w:rsidRPr="00255B1A">
        <w:rPr>
          <w:rFonts w:eastAsiaTheme="minorHAnsi" w:cs="Times New Roman"/>
          <w:lang w:eastAsia="en-US"/>
        </w:rPr>
        <w:t>,</w:t>
      </w:r>
      <w:r w:rsidRPr="00255B1A">
        <w:rPr>
          <w:rFonts w:eastAsiaTheme="minorHAnsi" w:cs="Times New Roman"/>
          <w:lang w:eastAsia="en-US"/>
        </w:rPr>
        <w:t xml:space="preserve"> per taluni de</w:t>
      </w:r>
      <w:r w:rsidR="00017E9F" w:rsidRPr="00255B1A">
        <w:rPr>
          <w:rFonts w:eastAsiaTheme="minorHAnsi" w:cs="Times New Roman"/>
          <w:lang w:eastAsia="en-US"/>
        </w:rPr>
        <w:t>i “</w:t>
      </w:r>
      <w:r w:rsidR="00017E9F" w:rsidRPr="00255B1A">
        <w:rPr>
          <w:rFonts w:eastAsiaTheme="minorHAnsi" w:cs="Times New Roman"/>
          <w:i/>
          <w:lang w:eastAsia="en-US"/>
        </w:rPr>
        <w:t>contenuti degli obblighi di pubblicazione</w:t>
      </w:r>
      <w:r w:rsidR="00017E9F" w:rsidRPr="00255B1A">
        <w:rPr>
          <w:rFonts w:eastAsiaTheme="minorHAnsi" w:cs="Times New Roman"/>
          <w:lang w:eastAsia="en-US"/>
        </w:rPr>
        <w:t>” previsti nella “</w:t>
      </w:r>
      <w:r w:rsidR="00017E9F" w:rsidRPr="00255B1A">
        <w:rPr>
          <w:rFonts w:eastAsiaTheme="minorHAnsi" w:cs="Times New Roman"/>
          <w:i/>
          <w:lang w:eastAsia="en-US"/>
        </w:rPr>
        <w:t>griglia di rilevazione</w:t>
      </w:r>
      <w:r w:rsidR="00017E9F" w:rsidRPr="00255B1A">
        <w:rPr>
          <w:rFonts w:eastAsiaTheme="minorHAnsi" w:cs="Times New Roman"/>
          <w:lang w:eastAsia="en-US"/>
        </w:rPr>
        <w:t xml:space="preserve">” </w:t>
      </w:r>
      <w:r w:rsidRPr="00255B1A">
        <w:rPr>
          <w:rFonts w:eastAsiaTheme="minorHAnsi" w:cs="Times New Roman"/>
          <w:lang w:eastAsia="en-US"/>
        </w:rPr>
        <w:t>oggetto di attestazione</w:t>
      </w:r>
      <w:r w:rsidR="0048012F" w:rsidRPr="00255B1A">
        <w:rPr>
          <w:rFonts w:eastAsiaTheme="minorHAnsi" w:cs="Times New Roman"/>
          <w:lang w:eastAsia="en-US"/>
        </w:rPr>
        <w:t>,</w:t>
      </w:r>
      <w:r w:rsidRPr="00255B1A">
        <w:rPr>
          <w:rFonts w:eastAsiaTheme="minorHAnsi" w:cs="Times New Roman"/>
          <w:lang w:eastAsia="en-US"/>
        </w:rPr>
        <w:t xml:space="preserve"> </w:t>
      </w:r>
      <w:r w:rsidR="000B6FF8" w:rsidRPr="00255B1A">
        <w:rPr>
          <w:rFonts w:eastAsiaTheme="minorHAnsi" w:cs="Times New Roman"/>
          <w:lang w:eastAsia="en-US"/>
        </w:rPr>
        <w:t xml:space="preserve">la PCM è destinataria di una normativa </w:t>
      </w:r>
      <w:r w:rsidR="0072183B" w:rsidRPr="00255B1A">
        <w:rPr>
          <w:rFonts w:eastAsiaTheme="minorHAnsi" w:cs="Times New Roman"/>
          <w:i/>
          <w:lang w:eastAsia="en-US"/>
        </w:rPr>
        <w:t>ad hoc</w:t>
      </w:r>
      <w:r w:rsidR="000B6FF8" w:rsidRPr="00255B1A">
        <w:rPr>
          <w:rFonts w:eastAsiaTheme="minorHAnsi" w:cs="Times New Roman"/>
          <w:lang w:eastAsia="en-US"/>
        </w:rPr>
        <w:t xml:space="preserve">, </w:t>
      </w:r>
      <w:r w:rsidR="00255B1A" w:rsidRPr="00255B1A">
        <w:rPr>
          <w:rFonts w:eastAsiaTheme="minorHAnsi" w:cs="Times New Roman"/>
          <w:lang w:eastAsia="en-US"/>
        </w:rPr>
        <w:t>sulla base di un rinvio operato dalla normativa generale</w:t>
      </w:r>
      <w:r w:rsidR="00255B1A">
        <w:rPr>
          <w:rFonts w:eastAsiaTheme="minorHAnsi" w:cs="Times New Roman"/>
          <w:lang w:eastAsia="en-US"/>
        </w:rPr>
        <w:t>,</w:t>
      </w:r>
      <w:r w:rsidR="00255B1A" w:rsidRPr="00255B1A">
        <w:rPr>
          <w:rFonts w:eastAsiaTheme="minorHAnsi" w:cs="Times New Roman"/>
          <w:lang w:eastAsia="en-US"/>
        </w:rPr>
        <w:t xml:space="preserve"> in considerazione delle peculiarità del relativo ordinamento che discende dagli artt.</w:t>
      </w:r>
      <w:r w:rsidR="0085606C">
        <w:rPr>
          <w:rFonts w:eastAsiaTheme="minorHAnsi" w:cs="Times New Roman"/>
          <w:lang w:eastAsia="en-US"/>
        </w:rPr>
        <w:t xml:space="preserve"> </w:t>
      </w:r>
      <w:r w:rsidR="00255B1A" w:rsidRPr="00255B1A">
        <w:rPr>
          <w:rFonts w:eastAsiaTheme="minorHAnsi" w:cs="Times New Roman"/>
          <w:lang w:eastAsia="en-US"/>
        </w:rPr>
        <w:t>92 e 95 della Costituzione.</w:t>
      </w:r>
    </w:p>
    <w:p w:rsidR="007B32D3" w:rsidRDefault="00255B1A"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eastAsiaTheme="minorEastAsia" w:cs="Times New Roman"/>
          <w:bCs/>
          <w:lang w:eastAsia="it-IT"/>
        </w:rPr>
      </w:pPr>
      <w:r>
        <w:rPr>
          <w:rFonts w:eastAsiaTheme="minorHAnsi" w:cs="Times New Roman"/>
          <w:lang w:eastAsia="en-US"/>
        </w:rPr>
        <w:t>Il comma 3 dell’</w:t>
      </w:r>
      <w:r w:rsidR="000919EC" w:rsidRPr="000919EC">
        <w:rPr>
          <w:rFonts w:eastAsiaTheme="minorHAnsi" w:cs="Times New Roman"/>
          <w:lang w:eastAsia="en-US"/>
        </w:rPr>
        <w:t>art. 74</w:t>
      </w:r>
      <w:r>
        <w:rPr>
          <w:rFonts w:eastAsiaTheme="minorHAnsi" w:cs="Times New Roman"/>
          <w:lang w:eastAsia="en-US"/>
        </w:rPr>
        <w:t xml:space="preserve"> </w:t>
      </w:r>
      <w:r w:rsidR="000919EC" w:rsidRPr="000919EC">
        <w:rPr>
          <w:rFonts w:eastAsiaTheme="minorHAnsi" w:cs="Times New Roman"/>
          <w:lang w:eastAsia="en-US"/>
        </w:rPr>
        <w:t xml:space="preserve">del d.lgs. n. 150 del 2009 ha rimesso, ad uno o più DPCM, la determinazione di limiti e modalità di applicazione alla PCM delle </w:t>
      </w:r>
      <w:r w:rsidR="000919EC" w:rsidRPr="000919EC">
        <w:rPr>
          <w:rFonts w:eastAsiaTheme="minorHAnsi" w:cs="Times New Roman"/>
          <w:color w:val="000000" w:themeColor="text1"/>
          <w:lang w:eastAsia="en-US"/>
        </w:rPr>
        <w:t>disposizioni, anche inderogabili, del citato d.lgs.</w:t>
      </w:r>
      <w:r>
        <w:rPr>
          <w:rFonts w:eastAsiaTheme="minorHAnsi" w:cs="Times New Roman"/>
          <w:color w:val="000000" w:themeColor="text1"/>
          <w:lang w:eastAsia="en-US"/>
        </w:rPr>
        <w:t xml:space="preserve"> In ragione del</w:t>
      </w:r>
      <w:r w:rsidR="005C6F53">
        <w:rPr>
          <w:rFonts w:eastAsiaTheme="minorHAnsi" w:cs="Times New Roman"/>
          <w:color w:val="000000" w:themeColor="text1"/>
          <w:lang w:eastAsia="en-US"/>
        </w:rPr>
        <w:t>la</w:t>
      </w:r>
      <w:r>
        <w:rPr>
          <w:rFonts w:eastAsiaTheme="minorHAnsi" w:cs="Times New Roman"/>
          <w:color w:val="000000" w:themeColor="text1"/>
          <w:lang w:eastAsia="en-US"/>
        </w:rPr>
        <w:t xml:space="preserve"> citat</w:t>
      </w:r>
      <w:r w:rsidR="005C6F53">
        <w:rPr>
          <w:rFonts w:eastAsiaTheme="minorHAnsi" w:cs="Times New Roman"/>
          <w:color w:val="000000" w:themeColor="text1"/>
          <w:lang w:eastAsia="en-US"/>
        </w:rPr>
        <w:t>a</w:t>
      </w:r>
      <w:r>
        <w:rPr>
          <w:rFonts w:eastAsiaTheme="minorHAnsi" w:cs="Times New Roman"/>
          <w:color w:val="000000" w:themeColor="text1"/>
          <w:lang w:eastAsia="en-US"/>
        </w:rPr>
        <w:t xml:space="preserve"> </w:t>
      </w:r>
      <w:r w:rsidR="005C6F53">
        <w:rPr>
          <w:rFonts w:eastAsiaTheme="minorHAnsi" w:cs="Times New Roman"/>
          <w:color w:val="000000" w:themeColor="text1"/>
          <w:lang w:eastAsia="en-US"/>
        </w:rPr>
        <w:t xml:space="preserve">previsione normativa </w:t>
      </w:r>
      <w:r w:rsidR="007235D7">
        <w:rPr>
          <w:rFonts w:eastAsiaTheme="minorHAnsi" w:cs="Times New Roman"/>
          <w:lang w:eastAsia="en-US"/>
        </w:rPr>
        <w:t xml:space="preserve">è stato emanato il </w:t>
      </w:r>
      <w:r w:rsidR="007235D7" w:rsidRPr="000919EC">
        <w:rPr>
          <w:rFonts w:eastAsiaTheme="minorHAnsi" w:cs="Times New Roman"/>
          <w:color w:val="000000" w:themeColor="text1"/>
          <w:lang w:eastAsia="en-US"/>
        </w:rPr>
        <w:t>DPCM n. 131 del 2011</w:t>
      </w:r>
      <w:r w:rsidR="0085606C">
        <w:rPr>
          <w:rFonts w:eastAsiaTheme="minorHAnsi" w:cs="Times New Roman"/>
          <w:color w:val="000000" w:themeColor="text1"/>
          <w:lang w:eastAsia="en-US"/>
        </w:rPr>
        <w:t xml:space="preserve"> </w:t>
      </w:r>
      <w:r w:rsidR="007B32D3" w:rsidRPr="007B32D3">
        <w:rPr>
          <w:rFonts w:eastAsiaTheme="minorHAnsi" w:cs="Times New Roman"/>
          <w:color w:val="000000" w:themeColor="text1"/>
          <w:lang w:eastAsia="en-US"/>
        </w:rPr>
        <w:t>&lt;&lt;</w:t>
      </w:r>
      <w:r w:rsidR="007B32D3" w:rsidRPr="007B32D3">
        <w:rPr>
          <w:rFonts w:eastAsiaTheme="minorEastAsia" w:cs="Times New Roman"/>
          <w:bCs/>
          <w:i/>
          <w:lang w:eastAsia="it-IT"/>
        </w:rPr>
        <w:t>Regolamento recante attuazione della previsione dell'articolo 74, comma 3, del decreto legislativo 27 ottobre 2009, n. 150, in relazione ai Titoli II e III del medesimo decreto legislativo</w:t>
      </w:r>
      <w:r w:rsidR="007B32D3" w:rsidRPr="007B32D3">
        <w:rPr>
          <w:rFonts w:eastAsiaTheme="minorEastAsia" w:cs="Times New Roman"/>
          <w:bCs/>
          <w:lang w:eastAsia="it-IT"/>
        </w:rPr>
        <w:t>&gt;&gt;</w:t>
      </w:r>
      <w:r w:rsidR="007B32D3">
        <w:rPr>
          <w:rFonts w:eastAsiaTheme="minorEastAsia" w:cs="Times New Roman"/>
          <w:bCs/>
          <w:lang w:eastAsia="it-IT"/>
        </w:rPr>
        <w:t>.</w:t>
      </w:r>
    </w:p>
    <w:p w:rsidR="007A5064" w:rsidRDefault="00255B1A"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eastAsiaTheme="minorHAnsi" w:cs="Times New Roman"/>
          <w:lang w:eastAsia="en-US"/>
        </w:rPr>
      </w:pPr>
      <w:r>
        <w:rPr>
          <w:rFonts w:eastAsiaTheme="minorHAnsi" w:cs="Times New Roman"/>
          <w:lang w:eastAsia="en-US"/>
        </w:rPr>
        <w:t>Il</w:t>
      </w:r>
      <w:r w:rsidRPr="00255B1A">
        <w:rPr>
          <w:rFonts w:eastAsiaTheme="minorHAnsi" w:cs="Times New Roman"/>
          <w:lang w:eastAsia="en-US"/>
        </w:rPr>
        <w:t xml:space="preserve"> comma 2 dell’art. 49 del </w:t>
      </w:r>
      <w:r w:rsidRPr="007A5064">
        <w:rPr>
          <w:rFonts w:eastAsiaTheme="minorHAnsi" w:cs="Times New Roman"/>
          <w:lang w:eastAsia="en-US"/>
        </w:rPr>
        <w:t>d.lgs. n. 33 del 2013</w:t>
      </w:r>
      <w:r>
        <w:rPr>
          <w:rFonts w:eastAsiaTheme="minorHAnsi" w:cs="Times New Roman"/>
          <w:lang w:eastAsia="en-US"/>
        </w:rPr>
        <w:t xml:space="preserve"> ha previsto che </w:t>
      </w:r>
      <w:r w:rsidRPr="00255B1A">
        <w:rPr>
          <w:rFonts w:eastAsiaTheme="minorHAnsi" w:cs="Times New Roman"/>
          <w:i/>
          <w:lang w:eastAsia="en-US"/>
        </w:rPr>
        <w:t xml:space="preserve">con uno o più decreti del Presidente del Consiglio dei Ministri sono determinate le modalità di applicazione delle disposizioni del presente decreto alla Presidenza del Consiglio dei Ministri, in considerazione delle peculiarità del relativo ordinamento ai sensi degli </w:t>
      </w:r>
      <w:hyperlink r:id="rId8" w:history="1">
        <w:r w:rsidRPr="00255B1A">
          <w:rPr>
            <w:rFonts w:eastAsiaTheme="minorHAnsi" w:cs="Times New Roman"/>
            <w:i/>
            <w:lang w:eastAsia="en-US"/>
          </w:rPr>
          <w:t>articoli 92</w:t>
        </w:r>
      </w:hyperlink>
      <w:r w:rsidRPr="00255B1A">
        <w:rPr>
          <w:rFonts w:eastAsiaTheme="minorHAnsi" w:cs="Times New Roman"/>
          <w:i/>
          <w:lang w:eastAsia="en-US"/>
        </w:rPr>
        <w:t xml:space="preserve"> e </w:t>
      </w:r>
      <w:hyperlink r:id="rId9" w:history="1">
        <w:r w:rsidRPr="00255B1A">
          <w:rPr>
            <w:rFonts w:eastAsiaTheme="minorHAnsi" w:cs="Times New Roman"/>
            <w:i/>
            <w:lang w:eastAsia="en-US"/>
          </w:rPr>
          <w:t>95 della Costituzione</w:t>
        </w:r>
      </w:hyperlink>
      <w:r w:rsidRPr="00255B1A">
        <w:rPr>
          <w:rFonts w:eastAsiaTheme="minorHAnsi" w:cs="Times New Roman"/>
          <w:lang w:eastAsia="en-US"/>
        </w:rPr>
        <w:t>, sicch</w:t>
      </w:r>
      <w:r w:rsidR="005C6F53">
        <w:rPr>
          <w:rFonts w:eastAsiaTheme="minorHAnsi" w:cs="Times New Roman"/>
          <w:lang w:eastAsia="en-US"/>
        </w:rPr>
        <w:t>é</w:t>
      </w:r>
      <w:r w:rsidRPr="00255B1A">
        <w:rPr>
          <w:rFonts w:eastAsiaTheme="minorHAnsi" w:cs="Times New Roman"/>
          <w:lang w:eastAsia="en-US"/>
        </w:rPr>
        <w:t xml:space="preserve"> è stato successivamente emanato il </w:t>
      </w:r>
      <w:r w:rsidR="007B32D3" w:rsidRPr="007A5064">
        <w:rPr>
          <w:rFonts w:eastAsiaTheme="minorHAnsi" w:cs="Times New Roman"/>
          <w:lang w:eastAsia="en-US"/>
        </w:rPr>
        <w:t>DPCM 20 dicembre 2013</w:t>
      </w:r>
      <w:r w:rsidR="007A5064" w:rsidRPr="007A5064">
        <w:rPr>
          <w:rFonts w:eastAsiaTheme="minorHAnsi" w:cs="Times New Roman"/>
          <w:lang w:eastAsia="en-US"/>
        </w:rPr>
        <w:t xml:space="preserve"> </w:t>
      </w:r>
      <w:r w:rsidR="007A5064">
        <w:rPr>
          <w:rFonts w:eastAsiaTheme="minorHAnsi" w:cs="Times New Roman"/>
          <w:lang w:eastAsia="en-US"/>
        </w:rPr>
        <w:t xml:space="preserve">recante </w:t>
      </w:r>
      <w:r w:rsidR="007A5064" w:rsidRPr="007A5064">
        <w:rPr>
          <w:rFonts w:eastAsiaTheme="minorHAnsi" w:cs="Times New Roman"/>
          <w:lang w:eastAsia="en-US"/>
        </w:rPr>
        <w:t>&lt;&lt;</w:t>
      </w:r>
      <w:r w:rsidR="007A5064" w:rsidRPr="005C6F53">
        <w:rPr>
          <w:rFonts w:eastAsiaTheme="minorHAnsi" w:cs="Times New Roman"/>
          <w:i/>
          <w:lang w:eastAsia="en-US"/>
        </w:rPr>
        <w:t>Modalità applicative degli obblighi di trasparenza in PCM, ai sensi dell'art. 49 del d.lgs n. 33/2013</w:t>
      </w:r>
      <w:r w:rsidR="007A5064" w:rsidRPr="00255B1A">
        <w:rPr>
          <w:rFonts w:eastAsiaTheme="minorHAnsi" w:cs="Times New Roman"/>
          <w:lang w:eastAsia="en-US"/>
        </w:rPr>
        <w:t xml:space="preserve">&gt;&gt;, </w:t>
      </w:r>
      <w:r w:rsidR="00BE20FD" w:rsidRPr="00255B1A">
        <w:rPr>
          <w:rFonts w:eastAsiaTheme="minorHAnsi" w:cs="Times New Roman"/>
          <w:lang w:eastAsia="en-US"/>
        </w:rPr>
        <w:t xml:space="preserve">che </w:t>
      </w:r>
      <w:r w:rsidR="00BE20FD" w:rsidRPr="007A5064">
        <w:rPr>
          <w:rFonts w:eastAsiaTheme="minorHAnsi" w:cs="Times New Roman"/>
          <w:lang w:eastAsia="en-US"/>
        </w:rPr>
        <w:t>ha determinato le modalità di applicazione alla PCM delle disposizioni dello stesso d.lgs</w:t>
      </w:r>
      <w:r w:rsidR="00BE20FD">
        <w:rPr>
          <w:rFonts w:eastAsiaTheme="minorHAnsi" w:cs="Times New Roman"/>
          <w:lang w:eastAsia="en-US"/>
        </w:rPr>
        <w:t>,</w:t>
      </w:r>
      <w:r w:rsidR="00BE20FD" w:rsidRPr="00255B1A">
        <w:rPr>
          <w:rFonts w:eastAsiaTheme="minorHAnsi" w:cs="Times New Roman"/>
          <w:lang w:eastAsia="en-US"/>
        </w:rPr>
        <w:t xml:space="preserve"> </w:t>
      </w:r>
      <w:r w:rsidR="007A5064" w:rsidRPr="00255B1A">
        <w:rPr>
          <w:rFonts w:eastAsiaTheme="minorHAnsi" w:cs="Times New Roman"/>
          <w:lang w:eastAsia="en-US"/>
        </w:rPr>
        <w:t>in seguito modificato con DPCM 28 marzo 2018</w:t>
      </w:r>
      <w:r w:rsidR="007A5064" w:rsidRPr="007A5064">
        <w:rPr>
          <w:rFonts w:eastAsiaTheme="minorHAnsi" w:cs="Times New Roman"/>
          <w:lang w:eastAsia="en-US"/>
        </w:rPr>
        <w:t>.</w:t>
      </w:r>
      <w:r w:rsidR="007A5064">
        <w:rPr>
          <w:rFonts w:eastAsiaTheme="minorHAnsi" w:cs="Times New Roman"/>
          <w:lang w:eastAsia="en-US"/>
        </w:rPr>
        <w:t xml:space="preserve"> </w:t>
      </w:r>
    </w:p>
    <w:p w:rsidR="005C6F53" w:rsidRDefault="00AF19EE"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eastAsiaTheme="minorHAnsi" w:cs="Times New Roman"/>
          <w:lang w:eastAsia="en-US"/>
        </w:rPr>
      </w:pPr>
      <w:r w:rsidRPr="00542CDC">
        <w:rPr>
          <w:rFonts w:cs="Times New Roman"/>
        </w:rPr>
        <w:t>I “</w:t>
      </w:r>
      <w:r w:rsidRPr="00C14325">
        <w:rPr>
          <w:rFonts w:cs="Times New Roman"/>
          <w:i/>
        </w:rPr>
        <w:t>contenuti degli obblighi</w:t>
      </w:r>
      <w:r w:rsidRPr="00542CDC">
        <w:rPr>
          <w:rFonts w:cs="Times New Roman"/>
        </w:rPr>
        <w:t xml:space="preserve">” presenti nella </w:t>
      </w:r>
      <w:r w:rsidR="00C14325">
        <w:rPr>
          <w:rFonts w:cs="Times New Roman"/>
        </w:rPr>
        <w:t>“</w:t>
      </w:r>
      <w:r w:rsidR="00C14325" w:rsidRPr="00C14325">
        <w:rPr>
          <w:rFonts w:cs="Times New Roman"/>
          <w:i/>
        </w:rPr>
        <w:t>g</w:t>
      </w:r>
      <w:r w:rsidRPr="00C14325">
        <w:rPr>
          <w:rFonts w:cs="Times New Roman"/>
          <w:i/>
        </w:rPr>
        <w:t xml:space="preserve">riglia di </w:t>
      </w:r>
      <w:r w:rsidR="00BE20FD">
        <w:rPr>
          <w:rFonts w:cs="Times New Roman"/>
          <w:i/>
        </w:rPr>
        <w:t>rilevazione</w:t>
      </w:r>
      <w:r w:rsidR="00C14325">
        <w:rPr>
          <w:rFonts w:cs="Times New Roman"/>
        </w:rPr>
        <w:t>”</w:t>
      </w:r>
      <w:r w:rsidRPr="00542CDC">
        <w:rPr>
          <w:rFonts w:cs="Times New Roman"/>
        </w:rPr>
        <w:t xml:space="preserve"> </w:t>
      </w:r>
      <w:r w:rsidR="00542CDC" w:rsidRPr="00542CDC">
        <w:rPr>
          <w:rFonts w:cs="Times New Roman"/>
        </w:rPr>
        <w:t>sono pubblicati nella sezione “</w:t>
      </w:r>
      <w:r w:rsidR="00542CDC" w:rsidRPr="00C14325">
        <w:rPr>
          <w:rFonts w:cs="Times New Roman"/>
          <w:i/>
        </w:rPr>
        <w:t>Amministrazione trasparente</w:t>
      </w:r>
      <w:r w:rsidR="00542CDC" w:rsidRPr="00542CDC">
        <w:rPr>
          <w:rFonts w:cs="Times New Roman"/>
        </w:rPr>
        <w:t>” del</w:t>
      </w:r>
      <w:r w:rsidR="00C85EB4">
        <w:rPr>
          <w:rFonts w:cs="Times New Roman"/>
        </w:rPr>
        <w:t xml:space="preserve"> sito web </w:t>
      </w:r>
      <w:r w:rsidR="00FD403B">
        <w:rPr>
          <w:rFonts w:cs="Times New Roman"/>
        </w:rPr>
        <w:t>“</w:t>
      </w:r>
      <w:r w:rsidR="00C85EB4">
        <w:rPr>
          <w:rFonts w:cs="Times New Roman"/>
        </w:rPr>
        <w:t>www.governo.it</w:t>
      </w:r>
      <w:r w:rsidR="00FD403B">
        <w:rPr>
          <w:rFonts w:cs="Times New Roman"/>
        </w:rPr>
        <w:t>”</w:t>
      </w:r>
      <w:r w:rsidR="00C85EB4">
        <w:rPr>
          <w:rFonts w:cs="Times New Roman"/>
        </w:rPr>
        <w:t>,</w:t>
      </w:r>
      <w:r w:rsidR="00542CDC" w:rsidRPr="00542CDC">
        <w:rPr>
          <w:rFonts w:cs="Times New Roman"/>
        </w:rPr>
        <w:t xml:space="preserve"> </w:t>
      </w:r>
      <w:r w:rsidR="007A5064">
        <w:rPr>
          <w:rFonts w:cs="Times New Roman"/>
        </w:rPr>
        <w:t xml:space="preserve">in </w:t>
      </w:r>
      <w:r w:rsidR="00542CDC" w:rsidRPr="00542CDC">
        <w:rPr>
          <w:rFonts w:cs="Times New Roman"/>
        </w:rPr>
        <w:t>coeren</w:t>
      </w:r>
      <w:r w:rsidR="007A5064">
        <w:rPr>
          <w:rFonts w:cs="Times New Roman"/>
        </w:rPr>
        <w:t>za</w:t>
      </w:r>
      <w:r w:rsidR="00542CDC" w:rsidRPr="00542CDC">
        <w:rPr>
          <w:rFonts w:cs="Times New Roman"/>
        </w:rPr>
        <w:t xml:space="preserve"> con le disposiz</w:t>
      </w:r>
      <w:r w:rsidR="00C14325">
        <w:rPr>
          <w:rFonts w:cs="Times New Roman"/>
        </w:rPr>
        <w:t>i</w:t>
      </w:r>
      <w:r w:rsidR="00542CDC" w:rsidRPr="00542CDC">
        <w:rPr>
          <w:rFonts w:cs="Times New Roman"/>
        </w:rPr>
        <w:t>oni recate dal DPCM n. 131 del 2011</w:t>
      </w:r>
      <w:r w:rsidR="001418CA">
        <w:rPr>
          <w:rFonts w:cs="Times New Roman"/>
        </w:rPr>
        <w:t>,</w:t>
      </w:r>
      <w:r w:rsidR="00542CDC" w:rsidRPr="00542CDC">
        <w:rPr>
          <w:rFonts w:cs="Times New Roman"/>
        </w:rPr>
        <w:t xml:space="preserve"> emanato in ragione dell’art. </w:t>
      </w:r>
      <w:r w:rsidR="00542CDC" w:rsidRPr="00542CDC">
        <w:rPr>
          <w:rFonts w:eastAsiaTheme="minorHAnsi" w:cs="Times New Roman"/>
          <w:lang w:eastAsia="en-US"/>
        </w:rPr>
        <w:t>74, comma 3 del d.lgs. n. 150 del 2009</w:t>
      </w:r>
      <w:r w:rsidR="001418CA">
        <w:rPr>
          <w:rFonts w:eastAsiaTheme="minorHAnsi" w:cs="Times New Roman"/>
          <w:lang w:eastAsia="en-US"/>
        </w:rPr>
        <w:t>,</w:t>
      </w:r>
      <w:r w:rsidR="00542CDC" w:rsidRPr="00542CDC">
        <w:rPr>
          <w:rFonts w:eastAsiaTheme="minorHAnsi" w:cs="Times New Roman"/>
          <w:lang w:eastAsia="en-US"/>
        </w:rPr>
        <w:t xml:space="preserve"> e dal DPCM 20 dicembre 2013, </w:t>
      </w:r>
      <w:r w:rsidR="00542CDC" w:rsidRPr="00542CDC">
        <w:rPr>
          <w:rFonts w:cs="Times New Roman"/>
        </w:rPr>
        <w:t xml:space="preserve">emanato in </w:t>
      </w:r>
      <w:r w:rsidR="00542CDC" w:rsidRPr="00542CDC">
        <w:rPr>
          <w:rFonts w:eastAsiaTheme="minorHAnsi" w:cs="Times New Roman"/>
          <w:lang w:eastAsia="en-US"/>
        </w:rPr>
        <w:t>attuazione dell’art. 49 del d.lgs. n. 33 del 2013</w:t>
      </w:r>
      <w:r w:rsidR="001418CA">
        <w:rPr>
          <w:rFonts w:eastAsiaTheme="minorHAnsi" w:cs="Times New Roman"/>
          <w:lang w:eastAsia="en-US"/>
        </w:rPr>
        <w:t xml:space="preserve"> ai quali si rinvia</w:t>
      </w:r>
      <w:r w:rsidR="00542CDC" w:rsidRPr="00542CDC">
        <w:rPr>
          <w:rFonts w:eastAsiaTheme="minorHAnsi" w:cs="Times New Roman"/>
          <w:lang w:eastAsia="en-US"/>
        </w:rPr>
        <w:t>.</w:t>
      </w:r>
      <w:r w:rsidR="005C6F53">
        <w:rPr>
          <w:rFonts w:eastAsiaTheme="minorHAnsi" w:cs="Times New Roman"/>
          <w:lang w:eastAsia="en-US"/>
        </w:rPr>
        <w:t xml:space="preserve"> </w:t>
      </w:r>
    </w:p>
    <w:p w:rsidR="005C6F53" w:rsidRDefault="005C6F53"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cs="Times New Roman"/>
        </w:rPr>
      </w:pPr>
      <w:r>
        <w:rPr>
          <w:rFonts w:cs="Times New Roman"/>
        </w:rPr>
        <w:lastRenderedPageBreak/>
        <w:t>R</w:t>
      </w:r>
      <w:r w:rsidR="00C14325" w:rsidRPr="00C14325">
        <w:rPr>
          <w:rFonts w:cs="Times New Roman"/>
        </w:rPr>
        <w:t xml:space="preserve">elativamente al procedimento e alle modalità seguite per condurre la rilevazione </w:t>
      </w:r>
      <w:r w:rsidR="00017E9F" w:rsidRPr="00C14325">
        <w:rPr>
          <w:rFonts w:cs="Times New Roman"/>
        </w:rPr>
        <w:t xml:space="preserve">è stato </w:t>
      </w:r>
      <w:r w:rsidR="00C14325" w:rsidRPr="00C14325">
        <w:rPr>
          <w:rFonts w:cs="Times New Roman"/>
        </w:rPr>
        <w:t xml:space="preserve">preliminarmente </w:t>
      </w:r>
      <w:r w:rsidR="00017E9F" w:rsidRPr="00C14325">
        <w:rPr>
          <w:rFonts w:cs="Times New Roman"/>
        </w:rPr>
        <w:t>operato un raffronto tra gli obblighi da attestare, sulla base della griglia di rilevazione ANAC</w:t>
      </w:r>
      <w:r w:rsidR="00C85EB4">
        <w:rPr>
          <w:rFonts w:cs="Times New Roman"/>
        </w:rPr>
        <w:t>,</w:t>
      </w:r>
      <w:r w:rsidR="00017E9F" w:rsidRPr="00C14325">
        <w:rPr>
          <w:rFonts w:cs="Times New Roman"/>
        </w:rPr>
        <w:t xml:space="preserve"> </w:t>
      </w:r>
      <w:r w:rsidR="00C85EB4">
        <w:rPr>
          <w:rFonts w:cs="Times New Roman"/>
        </w:rPr>
        <w:t xml:space="preserve">allegata alla Delibera n. 141 del 2018, </w:t>
      </w:r>
      <w:r w:rsidR="00017E9F" w:rsidRPr="00C14325">
        <w:rPr>
          <w:rFonts w:cs="Times New Roman"/>
        </w:rPr>
        <w:t>e la mappatura degli obblighi di pubblicità della PCM, che tiene conto delle modifiche ed integrazioni apportate dal d.lgs. n. 97/2016.</w:t>
      </w:r>
      <w:r>
        <w:rPr>
          <w:rFonts w:cs="Times New Roman"/>
        </w:rPr>
        <w:t xml:space="preserve"> </w:t>
      </w:r>
    </w:p>
    <w:p w:rsidR="00FD403B" w:rsidRDefault="00DC07C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rFonts w:eastAsiaTheme="minorEastAsia" w:cs="Times New Roman"/>
          <w:bCs/>
          <w:lang w:eastAsia="it-IT"/>
        </w:rPr>
      </w:pPr>
      <w:r w:rsidRPr="00C14325">
        <w:rPr>
          <w:rFonts w:cs="Times New Roman"/>
        </w:rPr>
        <w:t>E’ stata quindi effettuata una ricognizione dei dati presenti nelle sottosezioni della sezione “</w:t>
      </w:r>
      <w:r w:rsidRPr="001418CA">
        <w:rPr>
          <w:rFonts w:cs="Times New Roman"/>
          <w:i/>
        </w:rPr>
        <w:t>Amministrazione trasparente</w:t>
      </w:r>
      <w:r w:rsidRPr="00C14325">
        <w:rPr>
          <w:rFonts w:cs="Times New Roman"/>
        </w:rPr>
        <w:t>” afferenti agli obblighi di pubblicazione oggetto di attestazione, tenuto conto dei punteggi da riportare nelle colonne</w:t>
      </w:r>
      <w:r w:rsidR="00FD403B">
        <w:rPr>
          <w:rFonts w:cs="Times New Roman"/>
        </w:rPr>
        <w:t xml:space="preserve"> </w:t>
      </w:r>
      <w:r w:rsidRPr="00C14325">
        <w:rPr>
          <w:rFonts w:cs="Times New Roman"/>
        </w:rPr>
        <w:t xml:space="preserve">della griglia di rilevazione ANAC, in applicazione dei criteri indicati nell’allegato n. 4 </w:t>
      </w:r>
      <w:r w:rsidR="00C14325" w:rsidRPr="00C14325">
        <w:rPr>
          <w:rFonts w:cs="Times New Roman"/>
        </w:rPr>
        <w:t xml:space="preserve">della </w:t>
      </w:r>
      <w:r w:rsidR="00C85EB4">
        <w:rPr>
          <w:rFonts w:cs="Times New Roman"/>
        </w:rPr>
        <w:t xml:space="preserve">citata </w:t>
      </w:r>
      <w:r w:rsidR="00C14325" w:rsidRPr="00C14325">
        <w:rPr>
          <w:rFonts w:eastAsiaTheme="minorEastAsia" w:cs="Times New Roman"/>
          <w:bCs/>
          <w:lang w:eastAsia="it-IT"/>
        </w:rPr>
        <w:t>Delibera</w:t>
      </w:r>
      <w:r w:rsidR="00FD403B">
        <w:rPr>
          <w:rFonts w:eastAsiaTheme="minorEastAsia" w:cs="Times New Roman"/>
          <w:bCs/>
          <w:lang w:eastAsia="it-IT"/>
        </w:rPr>
        <w:t>, qui di seguito riportati:</w:t>
      </w:r>
    </w:p>
    <w:p w:rsidR="00FD403B" w:rsidRDefault="00FD403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firstLine="425"/>
      </w:pPr>
      <w:r>
        <w:rPr>
          <w:rFonts w:eastAsiaTheme="minorEastAsia" w:cs="Times New Roman"/>
          <w:bCs/>
          <w:lang w:eastAsia="it-IT"/>
        </w:rPr>
        <w:t>“pubblicazione”;</w:t>
      </w:r>
    </w:p>
    <w:p w:rsidR="00FD403B" w:rsidRDefault="00FD403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426"/>
      </w:pPr>
      <w:r w:rsidRPr="00A82D53">
        <w:t>“completezza del contenuto”;</w:t>
      </w:r>
    </w:p>
    <w:p w:rsidR="00FD403B" w:rsidRDefault="00FD403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426"/>
      </w:pPr>
      <w:r w:rsidRPr="00A82D53">
        <w:t>“completezza rispetto agli uffici”;</w:t>
      </w:r>
    </w:p>
    <w:p w:rsidR="00FD403B" w:rsidRDefault="00FD403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left="426"/>
      </w:pPr>
      <w:r w:rsidRPr="00A82D53">
        <w:t>“aggiornamento”;</w:t>
      </w:r>
    </w:p>
    <w:p w:rsidR="005C6F53" w:rsidRDefault="00FD403B" w:rsidP="00FD403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ind w:firstLine="426"/>
        <w:rPr>
          <w:rFonts w:cs="Times New Roman"/>
        </w:rPr>
      </w:pPr>
      <w:r w:rsidRPr="00A82D53">
        <w:t>“apertura formato”</w:t>
      </w:r>
      <w:r>
        <w:t>.</w:t>
      </w:r>
    </w:p>
    <w:p w:rsidR="005C6F53" w:rsidRDefault="00C85EB4"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pPr>
      <w:r>
        <w:t xml:space="preserve">Ai fini dell’Attestazione </w:t>
      </w:r>
      <w:r w:rsidR="00EF7DC5" w:rsidRPr="00A82D53">
        <w:t>questo Collegio</w:t>
      </w:r>
      <w:r>
        <w:t xml:space="preserve"> ha svolto </w:t>
      </w:r>
      <w:r w:rsidR="00EF7DC5" w:rsidRPr="00A82D53">
        <w:t xml:space="preserve">approfondimenti istruttori con alcune </w:t>
      </w:r>
      <w:r w:rsidR="00914BC3" w:rsidRPr="00A82D53">
        <w:t>Strutture della PCM in merito alle informazioni</w:t>
      </w:r>
      <w:r>
        <w:t>, dati e documenti</w:t>
      </w:r>
      <w:r w:rsidR="00914BC3" w:rsidRPr="00A82D53">
        <w:t xml:space="preserve"> oggetto di obbligo di pubblicazione.</w:t>
      </w:r>
      <w:r w:rsidR="005C6F53">
        <w:t xml:space="preserve"> </w:t>
      </w:r>
    </w:p>
    <w:p w:rsidR="005C6F53" w:rsidRDefault="00914BC3"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pPr>
      <w:r w:rsidRPr="00A82D53">
        <w:t>Con riguardo alla colonna “</w:t>
      </w:r>
      <w:r w:rsidRPr="00A82D53">
        <w:rPr>
          <w:i/>
          <w:iCs/>
        </w:rPr>
        <w:t>apertura formato</w:t>
      </w:r>
      <w:r w:rsidRPr="00A82D53">
        <w:t xml:space="preserve">” della griglia di </w:t>
      </w:r>
      <w:r w:rsidR="005C6F53">
        <w:t>rilevazione</w:t>
      </w:r>
      <w:r w:rsidRPr="00A82D53">
        <w:t xml:space="preserve"> ANAC, </w:t>
      </w:r>
      <w:r w:rsidR="00EF7DC5" w:rsidRPr="00A82D53">
        <w:t xml:space="preserve">le relative </w:t>
      </w:r>
      <w:r w:rsidR="00035D65" w:rsidRPr="00A82D53">
        <w:t xml:space="preserve">informazioni </w:t>
      </w:r>
      <w:r w:rsidR="00EF7DC5" w:rsidRPr="00A82D53">
        <w:t>s</w:t>
      </w:r>
      <w:r w:rsidRPr="00A82D53">
        <w:t>ono stat</w:t>
      </w:r>
      <w:r w:rsidR="00EF7DC5" w:rsidRPr="00A82D53">
        <w:t>e</w:t>
      </w:r>
      <w:r w:rsidRPr="00A82D53">
        <w:t xml:space="preserve"> fornit</w:t>
      </w:r>
      <w:r w:rsidR="00EF7DC5" w:rsidRPr="00A82D53">
        <w:t>e</w:t>
      </w:r>
      <w:r w:rsidRPr="00A82D53">
        <w:t xml:space="preserve"> dalla Redazione </w:t>
      </w:r>
      <w:r w:rsidRPr="00A82D53">
        <w:rPr>
          <w:i/>
          <w:iCs/>
        </w:rPr>
        <w:t>internet</w:t>
      </w:r>
      <w:r w:rsidRPr="00A82D53">
        <w:t xml:space="preserve"> dell’Ufficio stampa </w:t>
      </w:r>
      <w:r w:rsidR="005C6F53">
        <w:t xml:space="preserve">di questa Presidenza </w:t>
      </w:r>
      <w:r w:rsidR="00C85EB4">
        <w:t xml:space="preserve">del Consiglio dei Ministri </w:t>
      </w:r>
      <w:r w:rsidRPr="00A82D53">
        <w:t>che provvede alla pubblicazione dei dati che vengono inviati dalle Strutture</w:t>
      </w:r>
      <w:r w:rsidR="005C6F53">
        <w:t>.</w:t>
      </w:r>
    </w:p>
    <w:p w:rsidR="005C6F53" w:rsidRDefault="00EF7DC5"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pPr>
      <w:r w:rsidRPr="00A82D53">
        <w:t xml:space="preserve">E’ </w:t>
      </w:r>
      <w:r w:rsidR="00914BC3" w:rsidRPr="00A82D53">
        <w:t>stat</w:t>
      </w:r>
      <w:r w:rsidRPr="00A82D53">
        <w:t>o</w:t>
      </w:r>
      <w:r w:rsidR="00914BC3" w:rsidRPr="00A82D53">
        <w:t xml:space="preserve"> acquisit</w:t>
      </w:r>
      <w:r w:rsidR="00C85EB4">
        <w:t>o</w:t>
      </w:r>
      <w:r w:rsidR="00914BC3" w:rsidRPr="00A82D53">
        <w:t xml:space="preserve">, come necessario fondamento dell’attività di verifica, la Relazione annuale del Responsabile della </w:t>
      </w:r>
      <w:r w:rsidR="00FD403B">
        <w:t xml:space="preserve">prevenzione della corruzione e della </w:t>
      </w:r>
      <w:r w:rsidR="00914BC3" w:rsidRPr="00A82D53">
        <w:t xml:space="preserve">trasparenza </w:t>
      </w:r>
      <w:r w:rsidR="00FD403B">
        <w:t xml:space="preserve">per la </w:t>
      </w:r>
      <w:r w:rsidRPr="00A82D53">
        <w:t xml:space="preserve">PCM </w:t>
      </w:r>
      <w:r w:rsidR="00914BC3" w:rsidRPr="00A82D53">
        <w:t>in merito all’adempimento degli obblighi di pubblicazione nell’anno 201</w:t>
      </w:r>
      <w:r w:rsidR="00C14325">
        <w:t>7</w:t>
      </w:r>
      <w:r w:rsidR="00035D65" w:rsidRPr="00A82D53">
        <w:t>.</w:t>
      </w:r>
    </w:p>
    <w:p w:rsidR="005C6F53" w:rsidRDefault="00914BC3"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pPr>
      <w:r w:rsidRPr="00A82D53">
        <w:t>La verifica dei dati pubblicati sul sito istituzionale è avvenuta, oltre che</w:t>
      </w:r>
      <w:r w:rsidR="00EF7DC5" w:rsidRPr="00A82D53">
        <w:t xml:space="preserve"> con i sopra richiamati approfondimenti istruttori</w:t>
      </w:r>
      <w:r w:rsidR="00E7338B" w:rsidRPr="00A82D53">
        <w:t>,</w:t>
      </w:r>
      <w:r w:rsidRPr="00A82D53">
        <w:t xml:space="preserve"> mediante riscontro dirett</w:t>
      </w:r>
      <w:r w:rsidR="00035D65" w:rsidRPr="00A82D53">
        <w:t>o dei</w:t>
      </w:r>
      <w:r w:rsidRPr="00A82D53">
        <w:t xml:space="preserve"> dati </w:t>
      </w:r>
      <w:r w:rsidR="00035D65" w:rsidRPr="00A82D53">
        <w:t xml:space="preserve">pubblicati nelle </w:t>
      </w:r>
      <w:r w:rsidRPr="00A82D53">
        <w:t>sottosezioni</w:t>
      </w:r>
      <w:r w:rsidR="00035D65" w:rsidRPr="00A82D53">
        <w:t>.</w:t>
      </w:r>
      <w:r w:rsidR="00352CAB">
        <w:t xml:space="preserve"> Relativamente ai “</w:t>
      </w:r>
      <w:r w:rsidR="00352CAB" w:rsidRPr="00352CAB">
        <w:rPr>
          <w:i/>
        </w:rPr>
        <w:t>Consulenti e collaboratori</w:t>
      </w:r>
      <w:r w:rsidR="00352CAB">
        <w:t>” e a “</w:t>
      </w:r>
      <w:r w:rsidR="00352CAB" w:rsidRPr="00352CAB">
        <w:rPr>
          <w:i/>
        </w:rPr>
        <w:t>Atti di concessione</w:t>
      </w:r>
      <w:r w:rsidR="00352CAB">
        <w:t>”</w:t>
      </w:r>
      <w:r w:rsidR="00352CAB" w:rsidRPr="00352CAB">
        <w:t xml:space="preserve"> </w:t>
      </w:r>
      <w:r w:rsidR="00352CAB">
        <w:t xml:space="preserve">(colonna E della griglia), vista la mole dei dati, </w:t>
      </w:r>
      <w:r w:rsidR="00C85EB4">
        <w:t xml:space="preserve">delle informazioni e dei documenti </w:t>
      </w:r>
      <w:r w:rsidR="00352CAB">
        <w:t>è stata effettuata una verifica a campione</w:t>
      </w:r>
      <w:r w:rsidR="00DD211A">
        <w:t>.</w:t>
      </w:r>
      <w:r w:rsidR="00352CAB">
        <w:t xml:space="preserve"> </w:t>
      </w:r>
    </w:p>
    <w:p w:rsidR="005C6F53" w:rsidRDefault="00914BC3"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pPr>
      <w:r w:rsidRPr="00A82D53">
        <w:t xml:space="preserve">Il </w:t>
      </w:r>
      <w:r w:rsidR="001418CA">
        <w:t>punteggio attribuito nell</w:t>
      </w:r>
      <w:r w:rsidR="008132CA">
        <w:t>a</w:t>
      </w:r>
      <w:r w:rsidR="00352CAB">
        <w:t xml:space="preserve"> </w:t>
      </w:r>
      <w:r w:rsidRPr="00A82D53">
        <w:t>colonn</w:t>
      </w:r>
      <w:r w:rsidR="008132CA">
        <w:t>a</w:t>
      </w:r>
      <w:r w:rsidRPr="00A82D53">
        <w:t xml:space="preserve"> “</w:t>
      </w:r>
      <w:r w:rsidRPr="00A82D53">
        <w:rPr>
          <w:i/>
          <w:iCs/>
        </w:rPr>
        <w:t>Aggiornamento</w:t>
      </w:r>
      <w:r w:rsidRPr="00A82D53">
        <w:t>”</w:t>
      </w:r>
      <w:r w:rsidR="00352CAB">
        <w:t xml:space="preserve"> fa riferimento al livello di </w:t>
      </w:r>
      <w:r w:rsidRPr="008132CA">
        <w:t>aggiornamento</w:t>
      </w:r>
      <w:r w:rsidRPr="00387691">
        <w:t xml:space="preserve"> delle informazioni </w:t>
      </w:r>
      <w:r w:rsidR="00352CAB">
        <w:t xml:space="preserve">effettivamente </w:t>
      </w:r>
      <w:r w:rsidRPr="00387691">
        <w:t>pubblicate nella colonna “</w:t>
      </w:r>
      <w:r w:rsidRPr="00DD211A">
        <w:rPr>
          <w:i/>
        </w:rPr>
        <w:t>Completezza del contenuto</w:t>
      </w:r>
      <w:r w:rsidRPr="001D70ED">
        <w:t>”</w:t>
      </w:r>
      <w:r w:rsidRPr="00387691">
        <w:t>.</w:t>
      </w:r>
      <w:r w:rsidR="005C6F53">
        <w:t xml:space="preserve"> </w:t>
      </w:r>
    </w:p>
    <w:p w:rsidR="005C6F53" w:rsidRPr="00C85EB4" w:rsidRDefault="00DD211A" w:rsidP="005C6F5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100" w:afterAutospacing="1" w:line="240" w:lineRule="auto"/>
        <w:rPr>
          <w:b/>
          <w:i/>
        </w:rPr>
      </w:pPr>
      <w:r w:rsidRPr="00C85EB4">
        <w:rPr>
          <w:b/>
          <w:i/>
        </w:rPr>
        <w:t>Aspetti critici riscontrati nel corso della rilevazione</w:t>
      </w:r>
    </w:p>
    <w:p w:rsidR="004A5543" w:rsidRPr="004A5543" w:rsidRDefault="004A5543" w:rsidP="004A5543">
      <w:pPr>
        <w:keepNext w:val="0"/>
        <w:widowControl/>
        <w:suppressAutoHyphens w:val="0"/>
        <w:autoSpaceDE w:val="0"/>
        <w:autoSpaceDN w:val="0"/>
        <w:adjustRightInd w:val="0"/>
        <w:spacing w:after="100" w:afterAutospacing="1" w:line="240" w:lineRule="auto"/>
      </w:pPr>
      <w:r w:rsidRPr="004A5543">
        <w:t xml:space="preserve">Si sono riscontrati elementi meritevoli di interventi, prontamente avviati, per consentire la puntuale pubblicazione </w:t>
      </w:r>
      <w:r w:rsidR="007E4235">
        <w:t>e il più fruibile accesso, a</w:t>
      </w:r>
      <w:r w:rsidR="00E9382D">
        <w:t>i</w:t>
      </w:r>
      <w:r w:rsidR="007E4235">
        <w:t xml:space="preserve"> </w:t>
      </w:r>
      <w:r w:rsidR="00E9382D">
        <w:t>“</w:t>
      </w:r>
      <w:r w:rsidR="00E9382D" w:rsidRPr="004A5543">
        <w:rPr>
          <w:i/>
        </w:rPr>
        <w:t>link al progetto selezionato</w:t>
      </w:r>
      <w:r w:rsidR="00E9382D">
        <w:rPr>
          <w:i/>
        </w:rPr>
        <w:t>”</w:t>
      </w:r>
      <w:r w:rsidR="00E9382D" w:rsidRPr="004A5543">
        <w:t xml:space="preserve"> o </w:t>
      </w:r>
      <w:r w:rsidR="00E9382D">
        <w:t>al</w:t>
      </w:r>
      <w:r w:rsidR="00E9382D" w:rsidRPr="004A5543">
        <w:t>la documentazione riguardante i progetti</w:t>
      </w:r>
      <w:r w:rsidR="00E9382D">
        <w:t xml:space="preserve"> della Macrofamiglia </w:t>
      </w:r>
      <w:r w:rsidR="007E4235">
        <w:t>“</w:t>
      </w:r>
      <w:r w:rsidR="007E4235" w:rsidRPr="007E4235">
        <w:rPr>
          <w:i/>
        </w:rPr>
        <w:t>Sovvenzioni, contributi, sussidi, vantaggi economici</w:t>
      </w:r>
      <w:r w:rsidR="007E4235">
        <w:t>”</w:t>
      </w:r>
      <w:r w:rsidR="00E9382D">
        <w:t>.</w:t>
      </w:r>
    </w:p>
    <w:p w:rsidR="0061107E" w:rsidRPr="00131814" w:rsidRDefault="0061107E" w:rsidP="005C6F53">
      <w:pPr>
        <w:pStyle w:val="Nessunaspaziatura"/>
        <w:spacing w:after="100" w:afterAutospacing="1"/>
      </w:pPr>
      <w:r>
        <w:t xml:space="preserve">Roma, </w:t>
      </w:r>
      <w:r w:rsidR="004A5543">
        <w:t>27</w:t>
      </w:r>
      <w:r w:rsidR="00DD211A">
        <w:t xml:space="preserve"> </w:t>
      </w:r>
      <w:r>
        <w:t>aprile 201</w:t>
      </w:r>
      <w:r w:rsidR="00DD211A">
        <w:t>8</w:t>
      </w:r>
    </w:p>
    <w:sectPr w:rsidR="0061107E" w:rsidRPr="00131814" w:rsidSect="004A554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E4" w:rsidRDefault="00E775E4">
      <w:pPr>
        <w:spacing w:after="0" w:line="240" w:lineRule="auto"/>
      </w:pPr>
      <w:r>
        <w:separator/>
      </w:r>
    </w:p>
  </w:endnote>
  <w:endnote w:type="continuationSeparator" w:id="0">
    <w:p w:rsidR="00E775E4" w:rsidRDefault="00E7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7" w:rsidRDefault="00AE44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4333"/>
      <w:docPartObj>
        <w:docPartGallery w:val="Page Numbers (Bottom of Page)"/>
        <w:docPartUnique/>
      </w:docPartObj>
    </w:sdtPr>
    <w:sdtEndPr/>
    <w:sdtContent>
      <w:p w:rsidR="000D5D83" w:rsidRDefault="000D5D83">
        <w:pPr>
          <w:pStyle w:val="Pidipagina"/>
          <w:jc w:val="center"/>
        </w:pPr>
        <w:r>
          <w:fldChar w:fldCharType="begin"/>
        </w:r>
        <w:r>
          <w:instrText>PAGE   \* MERGEFORMAT</w:instrText>
        </w:r>
        <w:r>
          <w:fldChar w:fldCharType="separate"/>
        </w:r>
        <w:r w:rsidR="00AE44B7">
          <w:rPr>
            <w:noProof/>
          </w:rPr>
          <w:t>1</w:t>
        </w:r>
        <w:r>
          <w:fldChar w:fldCharType="end"/>
        </w:r>
      </w:p>
    </w:sdtContent>
  </w:sdt>
  <w:p w:rsidR="000D5D83" w:rsidRDefault="000D5D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7" w:rsidRDefault="00AE44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E4" w:rsidRDefault="00E775E4">
      <w:pPr>
        <w:spacing w:after="0" w:line="240" w:lineRule="auto"/>
      </w:pPr>
      <w:r>
        <w:separator/>
      </w:r>
    </w:p>
  </w:footnote>
  <w:footnote w:type="continuationSeparator" w:id="0">
    <w:p w:rsidR="00E775E4" w:rsidRDefault="00E7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7" w:rsidRDefault="00AE44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7" w:rsidRDefault="00AE44B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B7" w:rsidRDefault="00AE44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2D2B0338"/>
    <w:multiLevelType w:val="hybridMultilevel"/>
    <w:tmpl w:val="EA8EDEDC"/>
    <w:lvl w:ilvl="0" w:tplc="3420176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F22345"/>
    <w:multiLevelType w:val="hybridMultilevel"/>
    <w:tmpl w:val="98CEB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FD499F"/>
    <w:multiLevelType w:val="hybridMultilevel"/>
    <w:tmpl w:val="DDB89A40"/>
    <w:lvl w:ilvl="0" w:tplc="C38683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23"/>
    <w:rsid w:val="00017E9F"/>
    <w:rsid w:val="000316E6"/>
    <w:rsid w:val="00035D65"/>
    <w:rsid w:val="0009050F"/>
    <w:rsid w:val="000919EC"/>
    <w:rsid w:val="000A545E"/>
    <w:rsid w:val="000B6FF8"/>
    <w:rsid w:val="000D5D83"/>
    <w:rsid w:val="00121E74"/>
    <w:rsid w:val="00124CF9"/>
    <w:rsid w:val="00131814"/>
    <w:rsid w:val="001418CA"/>
    <w:rsid w:val="0016468A"/>
    <w:rsid w:val="001D70ED"/>
    <w:rsid w:val="0020756E"/>
    <w:rsid w:val="00255B1A"/>
    <w:rsid w:val="002D54F1"/>
    <w:rsid w:val="002E4D0E"/>
    <w:rsid w:val="002F50A5"/>
    <w:rsid w:val="00316AE0"/>
    <w:rsid w:val="00352CAB"/>
    <w:rsid w:val="00384AA3"/>
    <w:rsid w:val="00387691"/>
    <w:rsid w:val="003C35A8"/>
    <w:rsid w:val="00417EF2"/>
    <w:rsid w:val="004235C9"/>
    <w:rsid w:val="00441770"/>
    <w:rsid w:val="0048012F"/>
    <w:rsid w:val="0048249A"/>
    <w:rsid w:val="004A5543"/>
    <w:rsid w:val="004B73AB"/>
    <w:rsid w:val="004E11AD"/>
    <w:rsid w:val="004E636C"/>
    <w:rsid w:val="0051017D"/>
    <w:rsid w:val="005230AD"/>
    <w:rsid w:val="00542CDC"/>
    <w:rsid w:val="0055004D"/>
    <w:rsid w:val="00556186"/>
    <w:rsid w:val="005574A5"/>
    <w:rsid w:val="005910C2"/>
    <w:rsid w:val="005B5EA7"/>
    <w:rsid w:val="005C6F53"/>
    <w:rsid w:val="005F380C"/>
    <w:rsid w:val="0061107E"/>
    <w:rsid w:val="00622A30"/>
    <w:rsid w:val="006576D3"/>
    <w:rsid w:val="00674DAD"/>
    <w:rsid w:val="006B4E25"/>
    <w:rsid w:val="0070499B"/>
    <w:rsid w:val="007052EA"/>
    <w:rsid w:val="0072183B"/>
    <w:rsid w:val="007235D7"/>
    <w:rsid w:val="007359F8"/>
    <w:rsid w:val="007868AE"/>
    <w:rsid w:val="007A5064"/>
    <w:rsid w:val="007B1912"/>
    <w:rsid w:val="007B32D3"/>
    <w:rsid w:val="007E4235"/>
    <w:rsid w:val="007F60D4"/>
    <w:rsid w:val="008045FB"/>
    <w:rsid w:val="008132CA"/>
    <w:rsid w:val="00814E63"/>
    <w:rsid w:val="008322B3"/>
    <w:rsid w:val="0084768D"/>
    <w:rsid w:val="00852424"/>
    <w:rsid w:val="00855616"/>
    <w:rsid w:val="0085606C"/>
    <w:rsid w:val="00861FE1"/>
    <w:rsid w:val="00873C30"/>
    <w:rsid w:val="008D72A7"/>
    <w:rsid w:val="00914BC3"/>
    <w:rsid w:val="00916805"/>
    <w:rsid w:val="00960A2A"/>
    <w:rsid w:val="00966DA6"/>
    <w:rsid w:val="009A31C3"/>
    <w:rsid w:val="009A4B03"/>
    <w:rsid w:val="009C6FAC"/>
    <w:rsid w:val="009E3D71"/>
    <w:rsid w:val="00A611A8"/>
    <w:rsid w:val="00A82D53"/>
    <w:rsid w:val="00AA0048"/>
    <w:rsid w:val="00AB0020"/>
    <w:rsid w:val="00AB35B1"/>
    <w:rsid w:val="00AC7C8C"/>
    <w:rsid w:val="00AE44B7"/>
    <w:rsid w:val="00AF19EE"/>
    <w:rsid w:val="00AF3975"/>
    <w:rsid w:val="00B20E08"/>
    <w:rsid w:val="00B273AE"/>
    <w:rsid w:val="00B9667C"/>
    <w:rsid w:val="00BE20FD"/>
    <w:rsid w:val="00C11AEB"/>
    <w:rsid w:val="00C14325"/>
    <w:rsid w:val="00C27B23"/>
    <w:rsid w:val="00C41C08"/>
    <w:rsid w:val="00C451CF"/>
    <w:rsid w:val="00C5352B"/>
    <w:rsid w:val="00C74720"/>
    <w:rsid w:val="00C8167B"/>
    <w:rsid w:val="00C85EB4"/>
    <w:rsid w:val="00CB2215"/>
    <w:rsid w:val="00CB4026"/>
    <w:rsid w:val="00D27496"/>
    <w:rsid w:val="00D64A48"/>
    <w:rsid w:val="00D6519F"/>
    <w:rsid w:val="00D858E8"/>
    <w:rsid w:val="00DB14DB"/>
    <w:rsid w:val="00DC07CB"/>
    <w:rsid w:val="00DC5352"/>
    <w:rsid w:val="00DD211A"/>
    <w:rsid w:val="00DE76A4"/>
    <w:rsid w:val="00E15247"/>
    <w:rsid w:val="00E25EC0"/>
    <w:rsid w:val="00E26982"/>
    <w:rsid w:val="00E34312"/>
    <w:rsid w:val="00E472D3"/>
    <w:rsid w:val="00E7338B"/>
    <w:rsid w:val="00E775E4"/>
    <w:rsid w:val="00E9382D"/>
    <w:rsid w:val="00EA02BD"/>
    <w:rsid w:val="00EA4BBD"/>
    <w:rsid w:val="00ED20C1"/>
    <w:rsid w:val="00EF7DC5"/>
    <w:rsid w:val="00F7654F"/>
    <w:rsid w:val="00FA19A6"/>
    <w:rsid w:val="00FB0820"/>
    <w:rsid w:val="00FD403B"/>
    <w:rsid w:val="00FF5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character" w:styleId="Enfasicorsivo">
    <w:name w:val="Emphasis"/>
    <w:basedOn w:val="Carpredefinitoparagrafo"/>
    <w:uiPriority w:val="20"/>
    <w:qFormat/>
    <w:rsid w:val="001D70ED"/>
    <w:rPr>
      <w:i/>
      <w:iCs/>
    </w:rPr>
  </w:style>
  <w:style w:type="paragraph" w:styleId="Nessunaspaziatura">
    <w:name w:val="No Spacing"/>
    <w:uiPriority w:val="1"/>
    <w:qFormat/>
    <w:rsid w:val="0048012F"/>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character" w:styleId="Collegamentoipertestuale">
    <w:name w:val="Hyperlink"/>
    <w:basedOn w:val="Carpredefinitoparagrafo"/>
    <w:uiPriority w:val="99"/>
    <w:semiHidden/>
    <w:unhideWhenUsed/>
    <w:rsid w:val="00873C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character" w:styleId="Enfasicorsivo">
    <w:name w:val="Emphasis"/>
    <w:basedOn w:val="Carpredefinitoparagrafo"/>
    <w:uiPriority w:val="20"/>
    <w:qFormat/>
    <w:rsid w:val="001D70ED"/>
    <w:rPr>
      <w:i/>
      <w:iCs/>
    </w:rPr>
  </w:style>
  <w:style w:type="paragraph" w:styleId="Nessunaspaziatura">
    <w:name w:val="No Spacing"/>
    <w:uiPriority w:val="1"/>
    <w:qFormat/>
    <w:rsid w:val="0048012F"/>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character" w:styleId="Collegamentoipertestuale">
    <w:name w:val="Hyperlink"/>
    <w:basedOn w:val="Carpredefinitoparagrafo"/>
    <w:uiPriority w:val="99"/>
    <w:semiHidden/>
    <w:unhideWhenUsed/>
    <w:rsid w:val="00873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6541">
      <w:bodyDiv w:val="1"/>
      <w:marLeft w:val="0"/>
      <w:marRight w:val="0"/>
      <w:marTop w:val="0"/>
      <w:marBottom w:val="0"/>
      <w:divBdr>
        <w:top w:val="none" w:sz="0" w:space="0" w:color="auto"/>
        <w:left w:val="none" w:sz="0" w:space="0" w:color="auto"/>
        <w:bottom w:val="none" w:sz="0" w:space="0" w:color="auto"/>
        <w:right w:val="none" w:sz="0" w:space="0" w:color="auto"/>
      </w:divBdr>
    </w:div>
    <w:div w:id="1484003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5833ART9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105833ART96"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2018-04-30T06:26:00Z</dcterms:created>
  <dcterms:modified xsi:type="dcterms:W3CDTF">2018-04-30T06:26:00Z</dcterms:modified>
</cp:coreProperties>
</file>